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2pt" o:ole="" fillcolor="window">
            <v:imagedata r:id="rId7" o:title=""/>
          </v:shape>
          <o:OLEObject Type="Embed" ProgID="PBrush" ShapeID="_x0000_i1025" DrawAspect="Content" ObjectID="_1680415339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117D92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БЕРЕЗЕНЬ</w:t>
      </w:r>
      <w:r w:rsidR="001426CF">
        <w:rPr>
          <w:b/>
          <w:sz w:val="28"/>
          <w:szCs w:val="28"/>
          <w:lang w:val="uk-UA"/>
        </w:rPr>
        <w:t xml:space="preserve"> </w:t>
      </w:r>
      <w:r w:rsidR="00913B0E">
        <w:rPr>
          <w:b/>
          <w:sz w:val="28"/>
          <w:szCs w:val="28"/>
          <w:lang w:val="uk-UA"/>
        </w:rPr>
        <w:t xml:space="preserve"> 2021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117D92">
        <w:rPr>
          <w:b/>
          <w:sz w:val="28"/>
          <w:szCs w:val="28"/>
          <w:lang w:val="uk-UA"/>
        </w:rPr>
        <w:t>03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913B0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2021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117D92">
        <w:rPr>
          <w:b/>
          <w:sz w:val="26"/>
          <w:szCs w:val="26"/>
          <w:lang w:val="uk-UA"/>
        </w:rPr>
        <w:t>березні</w:t>
      </w:r>
      <w:r w:rsidR="000E1B77">
        <w:rPr>
          <w:b/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117D92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березні</w:t>
      </w:r>
      <w:r w:rsidR="004E0758" w:rsidRPr="0068129C">
        <w:rPr>
          <w:sz w:val="26"/>
          <w:szCs w:val="26"/>
          <w:lang w:val="uk-UA"/>
        </w:rPr>
        <w:t xml:space="preserve"> в атмосферному повітрі міста спостерігався </w:t>
      </w:r>
      <w:r w:rsidR="00D552FD">
        <w:rPr>
          <w:sz w:val="26"/>
          <w:szCs w:val="26"/>
          <w:lang w:val="uk-UA"/>
        </w:rPr>
        <w:t>помірно</w:t>
      </w:r>
      <w:r w:rsidR="004E0758" w:rsidRPr="0068129C">
        <w:rPr>
          <w:sz w:val="26"/>
          <w:szCs w:val="26"/>
          <w:lang w:val="uk-UA"/>
        </w:rPr>
        <w:t xml:space="preserve"> високий вміст діоксиду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 xml:space="preserve">, фтористого водню (речовина 2 класу небезпеки).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>
        <w:rPr>
          <w:sz w:val="26"/>
          <w:szCs w:val="26"/>
          <w:lang w:val="uk-UA"/>
        </w:rPr>
        <w:t>березень</w:t>
      </w:r>
      <w:r w:rsidR="00913B0E">
        <w:rPr>
          <w:sz w:val="26"/>
          <w:szCs w:val="26"/>
          <w:lang w:val="uk-UA"/>
        </w:rPr>
        <w:t xml:space="preserve"> </w:t>
      </w:r>
      <w:r w:rsidR="00E42445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 xml:space="preserve">по </w:t>
      </w:r>
      <w:proofErr w:type="spellStart"/>
      <w:r w:rsidR="00367CA5">
        <w:rPr>
          <w:sz w:val="26"/>
          <w:szCs w:val="26"/>
          <w:lang w:val="uk-UA"/>
        </w:rPr>
        <w:t>діоксиду</w:t>
      </w:r>
      <w:proofErr w:type="spellEnd"/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 xml:space="preserve">перевищувала </w:t>
      </w:r>
      <w:proofErr w:type="spellStart"/>
      <w:r w:rsidR="00CF093B">
        <w:rPr>
          <w:sz w:val="26"/>
          <w:szCs w:val="26"/>
          <w:lang w:val="uk-UA"/>
        </w:rPr>
        <w:t>ГДКс.д</w:t>
      </w:r>
      <w:proofErr w:type="spellEnd"/>
      <w:r w:rsidR="00CF093B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у 2,8</w:t>
      </w:r>
      <w:r w:rsidR="0012120A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>
        <w:rPr>
          <w:sz w:val="26"/>
          <w:szCs w:val="26"/>
          <w:lang w:val="uk-UA"/>
        </w:rPr>
        <w:t>– у 1,9</w:t>
      </w:r>
      <w:r w:rsidR="006E4817">
        <w:rPr>
          <w:sz w:val="26"/>
          <w:szCs w:val="26"/>
          <w:lang w:val="uk-UA"/>
        </w:rPr>
        <w:t xml:space="preserve"> рази</w:t>
      </w:r>
      <w:r w:rsidR="006E4817" w:rsidRPr="0068129C">
        <w:rPr>
          <w:sz w:val="26"/>
          <w:szCs w:val="26"/>
          <w:lang w:val="uk-UA"/>
        </w:rPr>
        <w:t xml:space="preserve">.  На ПСЗ № 2,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</w:t>
      </w:r>
      <w:proofErr w:type="spellStart"/>
      <w:r w:rsidR="006E4817" w:rsidRPr="0068129C">
        <w:rPr>
          <w:sz w:val="26"/>
          <w:szCs w:val="26"/>
          <w:lang w:val="uk-UA"/>
        </w:rPr>
        <w:t>діоксиду</w:t>
      </w:r>
      <w:proofErr w:type="spellEnd"/>
      <w:r w:rsidR="006E4817" w:rsidRPr="0068129C">
        <w:rPr>
          <w:sz w:val="26"/>
          <w:szCs w:val="26"/>
          <w:lang w:val="uk-UA"/>
        </w:rPr>
        <w:t xml:space="preserve"> азоту перевищувала </w:t>
      </w:r>
      <w:proofErr w:type="spellStart"/>
      <w:r w:rsidR="006E4817" w:rsidRPr="0068129C">
        <w:rPr>
          <w:sz w:val="26"/>
          <w:szCs w:val="26"/>
          <w:lang w:val="uk-UA"/>
        </w:rPr>
        <w:t>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>
        <w:rPr>
          <w:sz w:val="26"/>
          <w:szCs w:val="26"/>
          <w:lang w:val="uk-UA"/>
        </w:rPr>
        <w:t>2,3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по фтористому водню – у 1,9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>
        <w:rPr>
          <w:sz w:val="26"/>
          <w:szCs w:val="26"/>
          <w:lang w:val="uk-UA"/>
        </w:rPr>
        <w:t>3,4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882E09">
        <w:rPr>
          <w:sz w:val="26"/>
          <w:szCs w:val="26"/>
          <w:lang w:val="uk-UA"/>
        </w:rPr>
        <w:t xml:space="preserve"> 1</w:t>
      </w:r>
      <w:r>
        <w:rPr>
          <w:sz w:val="26"/>
          <w:szCs w:val="26"/>
          <w:lang w:val="uk-UA"/>
        </w:rPr>
        <w:t>,9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117D92">
        <w:rPr>
          <w:sz w:val="26"/>
          <w:szCs w:val="26"/>
          <w:lang w:val="uk-UA"/>
        </w:rPr>
        <w:t>1,4</w:t>
      </w:r>
      <w:r w:rsidRPr="0068129C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ГДКм.р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</w:t>
      </w:r>
      <w:proofErr w:type="spellStart"/>
      <w:r w:rsidR="00EC664A">
        <w:rPr>
          <w:sz w:val="26"/>
          <w:szCs w:val="26"/>
          <w:lang w:val="uk-UA"/>
        </w:rPr>
        <w:t>діоксиду</w:t>
      </w:r>
      <w:proofErr w:type="spellEnd"/>
      <w:r w:rsidR="00EC664A">
        <w:rPr>
          <w:sz w:val="26"/>
          <w:szCs w:val="26"/>
          <w:lang w:val="uk-UA"/>
        </w:rPr>
        <w:t xml:space="preserve"> азоту і </w:t>
      </w:r>
      <w:r w:rsidR="00913B0E">
        <w:rPr>
          <w:sz w:val="26"/>
          <w:szCs w:val="26"/>
          <w:lang w:val="uk-UA"/>
        </w:rPr>
        <w:t>1,0</w:t>
      </w:r>
      <w:r w:rsidR="00EC664A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перевищення ГДКм.р. з діоксиду азоту у </w:t>
      </w:r>
      <w:r w:rsidR="00117D92">
        <w:rPr>
          <w:sz w:val="26"/>
          <w:szCs w:val="26"/>
          <w:lang w:val="uk-UA"/>
        </w:rPr>
        <w:t>березні</w:t>
      </w:r>
      <w:r w:rsidR="000C6794">
        <w:rPr>
          <w:sz w:val="26"/>
          <w:szCs w:val="26"/>
          <w:lang w:val="uk-UA"/>
        </w:rPr>
        <w:t xml:space="preserve"> становила</w:t>
      </w:r>
      <w:r w:rsidRPr="0068129C">
        <w:rPr>
          <w:sz w:val="26"/>
          <w:szCs w:val="26"/>
          <w:lang w:val="uk-UA"/>
        </w:rPr>
        <w:t xml:space="preserve"> </w:t>
      </w:r>
      <w:r w:rsidR="00117D92">
        <w:rPr>
          <w:sz w:val="26"/>
          <w:szCs w:val="26"/>
          <w:lang w:val="uk-UA"/>
        </w:rPr>
        <w:t>20</w:t>
      </w:r>
      <w:r w:rsidR="00361775">
        <w:rPr>
          <w:sz w:val="26"/>
          <w:szCs w:val="26"/>
          <w:lang w:val="uk-UA"/>
        </w:rPr>
        <w:t>.</w:t>
      </w:r>
      <w:r w:rsidR="00DE1E64">
        <w:rPr>
          <w:sz w:val="26"/>
          <w:szCs w:val="26"/>
          <w:lang w:val="uk-UA"/>
        </w:rPr>
        <w:t>Фтористого водню два.</w:t>
      </w:r>
      <w:r w:rsidRPr="0068129C">
        <w:rPr>
          <w:sz w:val="26"/>
          <w:szCs w:val="26"/>
          <w:lang w:val="uk-UA"/>
        </w:rPr>
        <w:t xml:space="preserve">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4E0758" w:rsidRPr="005721AF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117D92">
        <w:rPr>
          <w:sz w:val="26"/>
          <w:szCs w:val="26"/>
          <w:lang w:val="uk-UA"/>
        </w:rPr>
        <w:t>березні</w:t>
      </w:r>
      <w:r w:rsidRPr="0068129C">
        <w:rPr>
          <w:sz w:val="26"/>
          <w:szCs w:val="26"/>
          <w:lang w:val="uk-UA"/>
        </w:rPr>
        <w:t xml:space="preserve"> загалом по місту характеризувався, як </w:t>
      </w:r>
      <w:r w:rsidR="009C5DBD">
        <w:rPr>
          <w:sz w:val="26"/>
          <w:szCs w:val="26"/>
          <w:lang w:val="uk-UA"/>
        </w:rPr>
        <w:t>висок</w:t>
      </w:r>
      <w:r w:rsidR="00882E09">
        <w:rPr>
          <w:sz w:val="26"/>
          <w:szCs w:val="26"/>
          <w:lang w:val="uk-UA"/>
        </w:rPr>
        <w:t>ий</w:t>
      </w:r>
      <w:r w:rsidR="00A0233C">
        <w:rPr>
          <w:sz w:val="26"/>
          <w:szCs w:val="26"/>
          <w:lang w:val="uk-UA"/>
        </w:rPr>
        <w:t xml:space="preserve">.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 xml:space="preserve">завислих речовин, </w:t>
      </w:r>
      <w:r w:rsidR="00D453F0">
        <w:rPr>
          <w:sz w:val="26"/>
          <w:szCs w:val="26"/>
          <w:lang w:val="uk-UA"/>
        </w:rPr>
        <w:t>оксиду в</w:t>
      </w:r>
      <w:r w:rsidR="00B47661">
        <w:rPr>
          <w:sz w:val="26"/>
          <w:szCs w:val="26"/>
          <w:lang w:val="uk-UA"/>
        </w:rPr>
        <w:t xml:space="preserve">углецю на ПСЗ №2 були дещо вищі, </w:t>
      </w:r>
      <w:r w:rsidR="000D1BC7">
        <w:rPr>
          <w:sz w:val="26"/>
          <w:szCs w:val="26"/>
          <w:lang w:val="uk-UA"/>
        </w:rPr>
        <w:t xml:space="preserve">ніж на ПСЗ №1, </w:t>
      </w:r>
      <w:r w:rsidR="00B47661">
        <w:rPr>
          <w:sz w:val="26"/>
          <w:szCs w:val="26"/>
          <w:lang w:val="uk-UA"/>
        </w:rPr>
        <w:t xml:space="preserve">а концентрації </w:t>
      </w:r>
      <w:r w:rsidR="00A22E0A">
        <w:rPr>
          <w:sz w:val="26"/>
          <w:szCs w:val="26"/>
          <w:lang w:val="uk-UA"/>
        </w:rPr>
        <w:t xml:space="preserve">по </w:t>
      </w:r>
      <w:proofErr w:type="spellStart"/>
      <w:r w:rsidR="00C218AD">
        <w:rPr>
          <w:sz w:val="26"/>
          <w:szCs w:val="26"/>
          <w:lang w:val="uk-UA"/>
        </w:rPr>
        <w:t>діоксид</w:t>
      </w:r>
      <w:proofErr w:type="spellEnd"/>
      <w:r w:rsidR="00B47661">
        <w:rPr>
          <w:sz w:val="26"/>
          <w:szCs w:val="26"/>
          <w:lang w:val="uk-UA"/>
        </w:rPr>
        <w:t xml:space="preserve"> азоту були вищі на </w:t>
      </w:r>
      <w:r w:rsidR="00C218AD">
        <w:rPr>
          <w:sz w:val="26"/>
          <w:szCs w:val="26"/>
          <w:lang w:val="uk-UA"/>
        </w:rPr>
        <w:t>ПСЗ №1</w:t>
      </w:r>
      <w:r w:rsidR="00A22E0A">
        <w:rPr>
          <w:sz w:val="26"/>
          <w:szCs w:val="26"/>
          <w:lang w:val="uk-UA"/>
        </w:rPr>
        <w:t>.</w:t>
      </w:r>
    </w:p>
    <w:p w:rsidR="004E0758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Порівняно з </w:t>
      </w:r>
      <w:r w:rsidR="00117D92">
        <w:rPr>
          <w:sz w:val="26"/>
          <w:szCs w:val="26"/>
          <w:lang w:val="uk-UA"/>
        </w:rPr>
        <w:t>березнем</w:t>
      </w:r>
      <w:r w:rsidR="00B907B1">
        <w:rPr>
          <w:sz w:val="26"/>
          <w:szCs w:val="26"/>
          <w:lang w:val="uk-UA"/>
        </w:rPr>
        <w:t xml:space="preserve"> </w:t>
      </w:r>
      <w:r w:rsidR="00086C53">
        <w:rPr>
          <w:sz w:val="26"/>
          <w:szCs w:val="26"/>
          <w:lang w:val="uk-UA"/>
        </w:rPr>
        <w:t xml:space="preserve"> </w:t>
      </w:r>
      <w:r w:rsidR="008B271B">
        <w:rPr>
          <w:sz w:val="26"/>
          <w:szCs w:val="26"/>
          <w:lang w:val="uk-UA"/>
        </w:rPr>
        <w:t xml:space="preserve"> 2020 </w:t>
      </w:r>
      <w:r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Pr="005721A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>не</w:t>
      </w:r>
      <w:r w:rsidR="00A22E0A">
        <w:rPr>
          <w:sz w:val="26"/>
          <w:szCs w:val="26"/>
          <w:lang w:val="uk-UA"/>
        </w:rPr>
        <w:t xml:space="preserve"> </w:t>
      </w:r>
      <w:r w:rsidR="00313947">
        <w:rPr>
          <w:sz w:val="26"/>
          <w:szCs w:val="26"/>
          <w:lang w:val="uk-UA"/>
        </w:rPr>
        <w:t xml:space="preserve">значною мірою </w:t>
      </w:r>
      <w:r w:rsidR="00D453F0">
        <w:rPr>
          <w:sz w:val="26"/>
          <w:szCs w:val="26"/>
          <w:lang w:val="uk-UA"/>
        </w:rPr>
        <w:t>збільшились</w:t>
      </w:r>
      <w:r w:rsidR="00482709">
        <w:rPr>
          <w:sz w:val="26"/>
          <w:szCs w:val="26"/>
          <w:lang w:val="uk-UA"/>
        </w:rPr>
        <w:t xml:space="preserve"> </w:t>
      </w:r>
      <w:r w:rsidR="00313947">
        <w:rPr>
          <w:sz w:val="26"/>
          <w:szCs w:val="26"/>
          <w:lang w:val="uk-UA"/>
        </w:rPr>
        <w:t xml:space="preserve">за рахунок </w:t>
      </w:r>
      <w:r w:rsidR="00482709">
        <w:rPr>
          <w:sz w:val="26"/>
          <w:szCs w:val="26"/>
          <w:lang w:val="uk-UA"/>
        </w:rPr>
        <w:t xml:space="preserve"> концентрацій по</w:t>
      </w:r>
      <w:r w:rsidR="00313947">
        <w:rPr>
          <w:sz w:val="26"/>
          <w:szCs w:val="26"/>
          <w:lang w:val="uk-UA"/>
        </w:rPr>
        <w:t xml:space="preserve"> </w:t>
      </w:r>
      <w:proofErr w:type="spellStart"/>
      <w:r w:rsidR="00D453F0">
        <w:rPr>
          <w:sz w:val="26"/>
          <w:szCs w:val="26"/>
          <w:lang w:val="uk-UA"/>
        </w:rPr>
        <w:t>діоксид</w:t>
      </w:r>
      <w:proofErr w:type="spellEnd"/>
      <w:r w:rsidR="00D453F0">
        <w:rPr>
          <w:sz w:val="26"/>
          <w:szCs w:val="26"/>
          <w:lang w:val="uk-UA"/>
        </w:rPr>
        <w:t xml:space="preserve"> азоту,фтористому водню </w:t>
      </w:r>
      <w:r w:rsidR="008B271B">
        <w:rPr>
          <w:sz w:val="26"/>
          <w:szCs w:val="26"/>
          <w:lang w:val="uk-UA"/>
        </w:rPr>
        <w:t>та формальдегіду</w:t>
      </w:r>
      <w:r w:rsidR="00882E09">
        <w:rPr>
          <w:sz w:val="26"/>
          <w:szCs w:val="26"/>
          <w:lang w:val="uk-UA"/>
        </w:rPr>
        <w:t xml:space="preserve">. </w:t>
      </w:r>
      <w:proofErr w:type="spellStart"/>
      <w:r w:rsidR="00882E09">
        <w:rPr>
          <w:sz w:val="26"/>
          <w:szCs w:val="26"/>
          <w:lang w:val="uk-UA"/>
        </w:rPr>
        <w:t>Діоксид</w:t>
      </w:r>
      <w:proofErr w:type="spellEnd"/>
      <w:r w:rsidR="00D453F0">
        <w:rPr>
          <w:sz w:val="26"/>
          <w:szCs w:val="26"/>
          <w:lang w:val="uk-UA"/>
        </w:rPr>
        <w:t xml:space="preserve"> сірки</w:t>
      </w:r>
      <w:r w:rsidR="00161A39">
        <w:rPr>
          <w:sz w:val="26"/>
          <w:szCs w:val="26"/>
          <w:lang w:val="uk-UA"/>
        </w:rPr>
        <w:t xml:space="preserve"> та аміак залишились без змін</w:t>
      </w:r>
      <w:r w:rsidR="00D453F0">
        <w:rPr>
          <w:sz w:val="26"/>
          <w:szCs w:val="26"/>
          <w:lang w:val="uk-UA"/>
        </w:rPr>
        <w:t>, оксид вуглецю дещо зменшився. (табл.№1)</w:t>
      </w:r>
      <w:r w:rsidR="009C5DBD">
        <w:rPr>
          <w:sz w:val="26"/>
          <w:szCs w:val="26"/>
          <w:lang w:val="uk-UA"/>
        </w:rPr>
        <w:t xml:space="preserve"> 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500EF5">
        <w:rPr>
          <w:sz w:val="26"/>
          <w:szCs w:val="26"/>
          <w:lang w:val="uk-UA"/>
        </w:rPr>
        <w:t xml:space="preserve">, </w:t>
      </w:r>
      <w:r w:rsidR="0082548D">
        <w:rPr>
          <w:sz w:val="26"/>
          <w:szCs w:val="26"/>
          <w:lang w:val="uk-UA"/>
        </w:rPr>
        <w:t xml:space="preserve"> </w:t>
      </w:r>
      <w:r w:rsidR="00117D92">
        <w:rPr>
          <w:sz w:val="26"/>
          <w:szCs w:val="26"/>
          <w:lang w:val="uk-UA"/>
        </w:rPr>
        <w:t>залишились майже однаковими</w:t>
      </w:r>
      <w:r w:rsidR="0082548D">
        <w:rPr>
          <w:sz w:val="26"/>
          <w:szCs w:val="26"/>
          <w:lang w:val="uk-UA"/>
        </w:rPr>
        <w:t xml:space="preserve">. </w:t>
      </w:r>
      <w:r w:rsidR="00D453F0">
        <w:rPr>
          <w:sz w:val="26"/>
          <w:szCs w:val="26"/>
          <w:lang w:val="uk-UA"/>
        </w:rPr>
        <w:t>(табл..№2)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117D92">
        <w:rPr>
          <w:i/>
          <w:lang w:val="uk-UA"/>
        </w:rPr>
        <w:t>березень</w:t>
      </w:r>
      <w:r w:rsidR="00161A39">
        <w:rPr>
          <w:i/>
          <w:lang w:val="uk-UA"/>
        </w:rPr>
        <w:t xml:space="preserve"> </w:t>
      </w:r>
      <w:r>
        <w:rPr>
          <w:i/>
          <w:lang w:val="uk-UA"/>
        </w:rPr>
        <w:t xml:space="preserve"> </w:t>
      </w:r>
      <w:r w:rsidR="00161A39">
        <w:rPr>
          <w:i/>
          <w:lang w:val="uk-UA"/>
        </w:rPr>
        <w:t>2021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117D92">
        <w:rPr>
          <w:i/>
          <w:lang w:val="uk-UA"/>
        </w:rPr>
        <w:t xml:space="preserve">березнем </w:t>
      </w:r>
      <w:r w:rsidR="00161A39">
        <w:rPr>
          <w:i/>
          <w:lang w:val="uk-UA"/>
        </w:rPr>
        <w:t xml:space="preserve"> 2020</w:t>
      </w:r>
      <w:r w:rsidRPr="008D5796">
        <w:rPr>
          <w:i/>
          <w:lang w:val="uk-UA"/>
        </w:rPr>
        <w:t xml:space="preserve"> 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2"/>
        <w:gridCol w:w="2045"/>
        <w:gridCol w:w="2047"/>
        <w:gridCol w:w="2047"/>
        <w:gridCol w:w="2045"/>
      </w:tblGrid>
      <w:tr w:rsidR="004E0758" w:rsidRPr="00B63CF2" w:rsidTr="00A57338">
        <w:trPr>
          <w:trHeight w:val="20"/>
        </w:trPr>
        <w:tc>
          <w:tcPr>
            <w:tcW w:w="990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500EF5">
              <w:rPr>
                <w:lang w:val="uk-UA"/>
              </w:rPr>
              <w:t xml:space="preserve"> 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мг/м</w:t>
            </w:r>
            <w:r w:rsidRPr="003D0B0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B49EC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B49EC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B49EC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B49EC">
              <w:rPr>
                <w:lang w:val="uk-UA"/>
              </w:rPr>
              <w:t>6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B49EC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B49EC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4B49E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  <w:tc>
          <w:tcPr>
            <w:tcW w:w="1003" w:type="pct"/>
          </w:tcPr>
          <w:p w:rsidR="00A57338" w:rsidRPr="00E063B2" w:rsidRDefault="003F5F4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4B49E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4B49EC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  <w:tc>
          <w:tcPr>
            <w:tcW w:w="1003" w:type="pct"/>
          </w:tcPr>
          <w:p w:rsidR="00A57338" w:rsidRPr="00704E75" w:rsidRDefault="003F5F4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E02CC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4B49EC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:rsidR="00A57338" w:rsidRPr="00574CA6" w:rsidRDefault="00743E3C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B49EC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:rsidR="00A57338" w:rsidRPr="00B47789" w:rsidRDefault="00743E3C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B49EC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:rsidR="00A57338" w:rsidRPr="005E7078" w:rsidRDefault="004B49EC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B49E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B49E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B49EC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4B49E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4B49E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3" w:type="pct"/>
          </w:tcPr>
          <w:p w:rsidR="00A57338" w:rsidRPr="00704E75" w:rsidRDefault="004B49EC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4B49EC">
        <w:rPr>
          <w:i/>
          <w:lang w:val="uk-UA"/>
        </w:rPr>
        <w:t xml:space="preserve"> березень</w:t>
      </w:r>
      <w:r w:rsidR="003F5F4A">
        <w:rPr>
          <w:i/>
          <w:lang w:val="uk-UA"/>
        </w:rPr>
        <w:t xml:space="preserve">  2021</w:t>
      </w:r>
      <w:r w:rsidRPr="00143D6F">
        <w:rPr>
          <w:i/>
          <w:lang w:val="uk-UA"/>
        </w:rPr>
        <w:t xml:space="preserve"> року і в порівнянні з</w:t>
      </w:r>
      <w:r w:rsidR="004B49EC">
        <w:rPr>
          <w:i/>
          <w:lang w:val="uk-UA"/>
        </w:rPr>
        <w:t xml:space="preserve"> березнем </w:t>
      </w:r>
      <w:r w:rsidR="003F5F4A">
        <w:rPr>
          <w:i/>
          <w:lang w:val="uk-UA"/>
        </w:rPr>
        <w:t xml:space="preserve"> 2020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3F5F4A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3F5F4A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максимальні разові концентрації в мг/м</w:t>
            </w:r>
            <w:r w:rsidRPr="0037191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06535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06535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6535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06535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43E3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63ACA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3F5F4A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6535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:rsidR="00A57338" w:rsidRPr="00E063B2" w:rsidRDefault="003F5F4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02" w:type="pct"/>
          </w:tcPr>
          <w:p w:rsidR="00A57338" w:rsidRPr="00704E75" w:rsidRDefault="003F5F4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6535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704E75" w:rsidRDefault="00743E3C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F5F4A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743E3C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3F5F4A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F5F4A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6535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F5F4A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F5F4A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F5F4A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F5F4A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F5F4A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</w:tbl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</w:t>
      </w:r>
      <w:proofErr w:type="spellStart"/>
      <w:r w:rsidRPr="00CC7958">
        <w:rPr>
          <w:lang w:val="uk-UA"/>
        </w:rPr>
        <w:t>м.Вінниці</w:t>
      </w:r>
      <w:proofErr w:type="spellEnd"/>
      <w:r w:rsidRPr="00CC7958">
        <w:rPr>
          <w:lang w:val="uk-UA"/>
        </w:rPr>
        <w:t xml:space="preserve"> за </w:t>
      </w:r>
      <w:r w:rsidR="00117D92">
        <w:rPr>
          <w:lang w:val="uk-UA"/>
        </w:rPr>
        <w:t>березень</w:t>
      </w:r>
      <w:r w:rsidR="003F5F4A">
        <w:rPr>
          <w:lang w:val="uk-UA"/>
        </w:rPr>
        <w:t xml:space="preserve">  2021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Pr="007857D1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lastRenderedPageBreak/>
        <w:t>ЩОМІСЯЧНИЙ БЮЛЕТЕНЬ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ЗА </w:t>
      </w:r>
      <w:r w:rsidR="00E06535">
        <w:rPr>
          <w:sz w:val="28"/>
          <w:szCs w:val="28"/>
          <w:lang w:val="uk-UA"/>
        </w:rPr>
        <w:t xml:space="preserve">БЕРЕЗЕНЬ </w:t>
      </w:r>
      <w:r w:rsidR="003F5F4A">
        <w:rPr>
          <w:sz w:val="28"/>
          <w:szCs w:val="28"/>
          <w:lang w:val="uk-UA"/>
        </w:rPr>
        <w:t xml:space="preserve"> 2021</w:t>
      </w:r>
      <w:r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9332A8">
        <w:rPr>
          <w:sz w:val="28"/>
          <w:szCs w:val="28"/>
          <w:lang w:val="uk-UA"/>
        </w:rPr>
        <w:t xml:space="preserve"> 992-23/992</w:t>
      </w:r>
      <w:r w:rsidR="006508CE">
        <w:rPr>
          <w:sz w:val="28"/>
          <w:szCs w:val="28"/>
          <w:lang w:val="uk-UA"/>
        </w:rPr>
        <w:t xml:space="preserve"> </w:t>
      </w:r>
      <w:r w:rsidRPr="006C4BE2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E06535">
        <w:rPr>
          <w:sz w:val="28"/>
          <w:szCs w:val="28"/>
          <w:lang w:val="uk-UA"/>
        </w:rPr>
        <w:t>16</w:t>
      </w:r>
      <w:r w:rsidRPr="006C4BE2">
        <w:rPr>
          <w:sz w:val="28"/>
          <w:szCs w:val="28"/>
          <w:lang w:val="uk-UA"/>
        </w:rPr>
        <w:t>.</w:t>
      </w:r>
      <w:r w:rsidR="00E06535">
        <w:rPr>
          <w:sz w:val="28"/>
          <w:szCs w:val="28"/>
          <w:lang w:val="uk-UA"/>
        </w:rPr>
        <w:t>04</w:t>
      </w:r>
      <w:r w:rsidR="009332A8">
        <w:rPr>
          <w:sz w:val="28"/>
          <w:szCs w:val="28"/>
          <w:lang w:val="uk-UA"/>
        </w:rPr>
        <w:t>.2021</w:t>
      </w:r>
      <w:r w:rsidRPr="006C4BE2">
        <w:rPr>
          <w:sz w:val="28"/>
          <w:szCs w:val="28"/>
          <w:lang w:val="uk-UA"/>
        </w:rPr>
        <w:t>р.</w:t>
      </w:r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Pr="006D346F">
        <w:rPr>
          <w:lang w:val="uk-UA"/>
        </w:rPr>
        <w:t xml:space="preserve">; </w:t>
      </w:r>
      <w:proofErr w:type="spellStart"/>
      <w:r w:rsidRPr="006D346F">
        <w:rPr>
          <w:lang w:val="en-US"/>
        </w:rPr>
        <w:t>vinpogoda</w:t>
      </w:r>
      <w:proofErr w:type="spellEnd"/>
      <w:r w:rsidRPr="006D346F">
        <w:rPr>
          <w:lang w:val="uk-UA"/>
        </w:rPr>
        <w:t>.</w:t>
      </w:r>
      <w:r w:rsidRPr="006D346F">
        <w:rPr>
          <w:lang w:val="en-US"/>
        </w:rPr>
        <w:t>at</w:t>
      </w:r>
      <w:r w:rsidRPr="006D346F">
        <w:rPr>
          <w:lang w:val="uk-UA"/>
        </w:rPr>
        <w:t>.</w:t>
      </w:r>
      <w:proofErr w:type="spellStart"/>
      <w:r w:rsidRPr="006D346F">
        <w:rPr>
          <w:lang w:val="en-US"/>
        </w:rPr>
        <w:t>ua</w:t>
      </w:r>
      <w:proofErr w:type="spellEnd"/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655" w:rsidRDefault="00D41655">
      <w:r>
        <w:separator/>
      </w:r>
    </w:p>
  </w:endnote>
  <w:endnote w:type="continuationSeparator" w:id="0">
    <w:p w:rsidR="00D41655" w:rsidRDefault="00D41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655" w:rsidRDefault="00D41655">
      <w:r>
        <w:separator/>
      </w:r>
    </w:p>
  </w:footnote>
  <w:footnote w:type="continuationSeparator" w:id="0">
    <w:p w:rsidR="00D41655" w:rsidRDefault="00D41655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D3"/>
    <w:rsid w:val="000217BD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86C53"/>
    <w:rsid w:val="000A77A4"/>
    <w:rsid w:val="000B4132"/>
    <w:rsid w:val="000B62A2"/>
    <w:rsid w:val="000C3E2C"/>
    <w:rsid w:val="000C6794"/>
    <w:rsid w:val="000D1BC7"/>
    <w:rsid w:val="000E1B77"/>
    <w:rsid w:val="000F24A5"/>
    <w:rsid w:val="00104181"/>
    <w:rsid w:val="0010460D"/>
    <w:rsid w:val="00113E4E"/>
    <w:rsid w:val="00115772"/>
    <w:rsid w:val="00117D92"/>
    <w:rsid w:val="001205DC"/>
    <w:rsid w:val="0012120A"/>
    <w:rsid w:val="001308EC"/>
    <w:rsid w:val="001426CF"/>
    <w:rsid w:val="00142730"/>
    <w:rsid w:val="00150AC9"/>
    <w:rsid w:val="0015604D"/>
    <w:rsid w:val="00156B8D"/>
    <w:rsid w:val="0016090E"/>
    <w:rsid w:val="00161A39"/>
    <w:rsid w:val="001A4A94"/>
    <w:rsid w:val="001A4D3F"/>
    <w:rsid w:val="001A651D"/>
    <w:rsid w:val="001B2AB8"/>
    <w:rsid w:val="001C225E"/>
    <w:rsid w:val="001C631D"/>
    <w:rsid w:val="001D70C9"/>
    <w:rsid w:val="0021510F"/>
    <w:rsid w:val="00224AC0"/>
    <w:rsid w:val="00236973"/>
    <w:rsid w:val="002462B3"/>
    <w:rsid w:val="0025074F"/>
    <w:rsid w:val="00266854"/>
    <w:rsid w:val="00267679"/>
    <w:rsid w:val="002769A4"/>
    <w:rsid w:val="002A309E"/>
    <w:rsid w:val="002B0261"/>
    <w:rsid w:val="002B5290"/>
    <w:rsid w:val="002B6842"/>
    <w:rsid w:val="002C1808"/>
    <w:rsid w:val="002C3FDF"/>
    <w:rsid w:val="00313947"/>
    <w:rsid w:val="003313C7"/>
    <w:rsid w:val="00341333"/>
    <w:rsid w:val="00361775"/>
    <w:rsid w:val="00365761"/>
    <w:rsid w:val="00367CA5"/>
    <w:rsid w:val="00394971"/>
    <w:rsid w:val="003A2844"/>
    <w:rsid w:val="003C78CE"/>
    <w:rsid w:val="003E7851"/>
    <w:rsid w:val="003F143C"/>
    <w:rsid w:val="003F5F4A"/>
    <w:rsid w:val="004140F3"/>
    <w:rsid w:val="00420F1A"/>
    <w:rsid w:val="00425559"/>
    <w:rsid w:val="00431260"/>
    <w:rsid w:val="00437B5F"/>
    <w:rsid w:val="0046279C"/>
    <w:rsid w:val="00465219"/>
    <w:rsid w:val="00470C5E"/>
    <w:rsid w:val="00482709"/>
    <w:rsid w:val="00495CFC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4B2D"/>
    <w:rsid w:val="00505328"/>
    <w:rsid w:val="00532D3F"/>
    <w:rsid w:val="00554C61"/>
    <w:rsid w:val="00574CA6"/>
    <w:rsid w:val="005902A1"/>
    <w:rsid w:val="00591AE9"/>
    <w:rsid w:val="005C0099"/>
    <w:rsid w:val="005C4657"/>
    <w:rsid w:val="005C5259"/>
    <w:rsid w:val="005E35E1"/>
    <w:rsid w:val="005E6100"/>
    <w:rsid w:val="005E7078"/>
    <w:rsid w:val="00603CE3"/>
    <w:rsid w:val="006059B6"/>
    <w:rsid w:val="00620809"/>
    <w:rsid w:val="006273BC"/>
    <w:rsid w:val="00636BF4"/>
    <w:rsid w:val="006410E8"/>
    <w:rsid w:val="00647B8D"/>
    <w:rsid w:val="006508CE"/>
    <w:rsid w:val="00656DF1"/>
    <w:rsid w:val="00691ADF"/>
    <w:rsid w:val="006A0450"/>
    <w:rsid w:val="006A5F84"/>
    <w:rsid w:val="006B1E64"/>
    <w:rsid w:val="006C3DD5"/>
    <w:rsid w:val="006D7BC2"/>
    <w:rsid w:val="006E3929"/>
    <w:rsid w:val="006E4817"/>
    <w:rsid w:val="00712F4E"/>
    <w:rsid w:val="007173EA"/>
    <w:rsid w:val="00742F4A"/>
    <w:rsid w:val="00743E3C"/>
    <w:rsid w:val="0076414E"/>
    <w:rsid w:val="0076579E"/>
    <w:rsid w:val="007857D1"/>
    <w:rsid w:val="007A685C"/>
    <w:rsid w:val="007E1D86"/>
    <w:rsid w:val="007E470C"/>
    <w:rsid w:val="0082548D"/>
    <w:rsid w:val="00862D90"/>
    <w:rsid w:val="00866354"/>
    <w:rsid w:val="00872ACA"/>
    <w:rsid w:val="00882E09"/>
    <w:rsid w:val="008A705D"/>
    <w:rsid w:val="008B271B"/>
    <w:rsid w:val="008C14C7"/>
    <w:rsid w:val="008D1ACC"/>
    <w:rsid w:val="00903CD3"/>
    <w:rsid w:val="00913B0E"/>
    <w:rsid w:val="00916B11"/>
    <w:rsid w:val="00917860"/>
    <w:rsid w:val="009332A3"/>
    <w:rsid w:val="009332A8"/>
    <w:rsid w:val="0094110B"/>
    <w:rsid w:val="00946359"/>
    <w:rsid w:val="00956D2D"/>
    <w:rsid w:val="00963CFB"/>
    <w:rsid w:val="009A561F"/>
    <w:rsid w:val="009B67A7"/>
    <w:rsid w:val="009B757A"/>
    <w:rsid w:val="009C0AAB"/>
    <w:rsid w:val="009C532A"/>
    <w:rsid w:val="009C5DBD"/>
    <w:rsid w:val="009E078B"/>
    <w:rsid w:val="00A0233C"/>
    <w:rsid w:val="00A153AE"/>
    <w:rsid w:val="00A22E0A"/>
    <w:rsid w:val="00A32D58"/>
    <w:rsid w:val="00A57338"/>
    <w:rsid w:val="00A63ACA"/>
    <w:rsid w:val="00A81BD2"/>
    <w:rsid w:val="00A8550B"/>
    <w:rsid w:val="00A94B01"/>
    <w:rsid w:val="00AE3156"/>
    <w:rsid w:val="00AF5567"/>
    <w:rsid w:val="00AF63C7"/>
    <w:rsid w:val="00B12B16"/>
    <w:rsid w:val="00B47661"/>
    <w:rsid w:val="00B47789"/>
    <w:rsid w:val="00B62F37"/>
    <w:rsid w:val="00B84E8E"/>
    <w:rsid w:val="00B86E8C"/>
    <w:rsid w:val="00B907B1"/>
    <w:rsid w:val="00BA17DA"/>
    <w:rsid w:val="00BA6F9F"/>
    <w:rsid w:val="00BB015B"/>
    <w:rsid w:val="00BF03F7"/>
    <w:rsid w:val="00BF0682"/>
    <w:rsid w:val="00C0208E"/>
    <w:rsid w:val="00C06077"/>
    <w:rsid w:val="00C1109B"/>
    <w:rsid w:val="00C2122D"/>
    <w:rsid w:val="00C218AD"/>
    <w:rsid w:val="00C30DE4"/>
    <w:rsid w:val="00C532A3"/>
    <w:rsid w:val="00C84D05"/>
    <w:rsid w:val="00C967B9"/>
    <w:rsid w:val="00CA5755"/>
    <w:rsid w:val="00CB1039"/>
    <w:rsid w:val="00CC67C8"/>
    <w:rsid w:val="00CD4DEF"/>
    <w:rsid w:val="00CD5EAE"/>
    <w:rsid w:val="00CF093B"/>
    <w:rsid w:val="00CF6066"/>
    <w:rsid w:val="00D07B62"/>
    <w:rsid w:val="00D15FD6"/>
    <w:rsid w:val="00D41655"/>
    <w:rsid w:val="00D453F0"/>
    <w:rsid w:val="00D552FD"/>
    <w:rsid w:val="00D7223B"/>
    <w:rsid w:val="00D8093B"/>
    <w:rsid w:val="00D8696C"/>
    <w:rsid w:val="00D952BE"/>
    <w:rsid w:val="00DA6D51"/>
    <w:rsid w:val="00DB10E0"/>
    <w:rsid w:val="00DB7704"/>
    <w:rsid w:val="00DC69BB"/>
    <w:rsid w:val="00DC6B11"/>
    <w:rsid w:val="00DD065F"/>
    <w:rsid w:val="00DE1E64"/>
    <w:rsid w:val="00DE54FC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77C1F"/>
    <w:rsid w:val="00E93966"/>
    <w:rsid w:val="00EA74F8"/>
    <w:rsid w:val="00EB522F"/>
    <w:rsid w:val="00EB61DB"/>
    <w:rsid w:val="00EC664A"/>
    <w:rsid w:val="00EF3A38"/>
    <w:rsid w:val="00F071E0"/>
    <w:rsid w:val="00F46C37"/>
    <w:rsid w:val="00F56F35"/>
    <w:rsid w:val="00F64A8C"/>
    <w:rsid w:val="00FB1CE9"/>
    <w:rsid w:val="00FB4C78"/>
    <w:rsid w:val="00FC3C00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44EC0-5955-4785-886E-73D22727D6BC}"/>
</file>

<file path=customXml/itemProps2.xml><?xml version="1.0" encoding="utf-8"?>
<ds:datastoreItem xmlns:ds="http://schemas.openxmlformats.org/officeDocument/2006/customXml" ds:itemID="{EF9F9A05-E048-49FA-BBCE-A601E536B63A}"/>
</file>

<file path=customXml/itemProps3.xml><?xml version="1.0" encoding="utf-8"?>
<ds:datastoreItem xmlns:ds="http://schemas.openxmlformats.org/officeDocument/2006/customXml" ds:itemID="{64247125-CE84-4EC4-9CEC-35AC7FA0C657}"/>
</file>

<file path=customXml/itemProps4.xml><?xml version="1.0" encoding="utf-8"?>
<ds:datastoreItem xmlns:ds="http://schemas.openxmlformats.org/officeDocument/2006/customXml" ds:itemID="{97F8713A-68D1-4FC4-A844-2FA48CDE5E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4570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21</cp:revision>
  <cp:lastPrinted>2017-02-10T10:34:00Z</cp:lastPrinted>
  <dcterms:created xsi:type="dcterms:W3CDTF">2020-10-07T11:39:00Z</dcterms:created>
  <dcterms:modified xsi:type="dcterms:W3CDTF">2021-04-20T06:16:00Z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